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jc w:val="right"/>
        <w:outlineLvl w:val="1"/>
      </w:pPr>
      <w:r>
        <w:t>Приложение 7</w:t>
      </w:r>
    </w:p>
    <w:p w:rsidR="00477B4D" w:rsidRDefault="00477B4D" w:rsidP="00477B4D">
      <w:pPr>
        <w:pStyle w:val="ConsPlusNormal"/>
        <w:jc w:val="right"/>
      </w:pPr>
      <w:r>
        <w:t>к Территориальной программе</w:t>
      </w: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Title"/>
        <w:jc w:val="center"/>
      </w:pPr>
      <w:bookmarkStart w:id="0" w:name="P19206"/>
      <w:bookmarkEnd w:id="0"/>
      <w:r>
        <w:t>ПЕРЕЧЕНЬ</w:t>
      </w:r>
    </w:p>
    <w:p w:rsidR="00477B4D" w:rsidRDefault="00477B4D" w:rsidP="00477B4D">
      <w:pPr>
        <w:pStyle w:val="ConsPlusTitle"/>
        <w:jc w:val="center"/>
      </w:pPr>
      <w:r>
        <w:t>МЕРОПРИЯТИЙ ПО ПРОФИЛАКТИКЕ ЗАБОЛЕВАНИЙ И ФОРМИРОВАНИЮ</w:t>
      </w:r>
    </w:p>
    <w:p w:rsidR="00477B4D" w:rsidRDefault="00477B4D" w:rsidP="00477B4D">
      <w:pPr>
        <w:pStyle w:val="ConsPlusTitle"/>
        <w:jc w:val="center"/>
      </w:pPr>
      <w:r>
        <w:t>ЗДОРОВОГО ОБРАЗА ЖИЗНИ, ВКЛЮЧАЯ МЕРЫ ПО ПРОФИЛАКТИКЕ</w:t>
      </w:r>
    </w:p>
    <w:p w:rsidR="00477B4D" w:rsidRDefault="00477B4D" w:rsidP="00477B4D">
      <w:pPr>
        <w:pStyle w:val="ConsPlusTitle"/>
        <w:jc w:val="center"/>
      </w:pPr>
      <w:r>
        <w:t>РАСПРОСТРАНЕНИЯ ВИРУСА ИММУНОДЕФИЦИТА ЧЕЛОВЕКА И ГЕПАТИТА C,</w:t>
      </w:r>
    </w:p>
    <w:p w:rsidR="00477B4D" w:rsidRDefault="00477B4D" w:rsidP="00477B4D">
      <w:pPr>
        <w:pStyle w:val="ConsPlusTitle"/>
        <w:jc w:val="center"/>
      </w:pPr>
      <w:r>
        <w:t>ОСУЩЕСТВЛЯЕМЫХ В РАМКАХ ТЕРРИТОРИАЛЬНОЙ ПРОГРАММЫ</w:t>
      </w:r>
    </w:p>
    <w:p w:rsidR="00477B4D" w:rsidRDefault="00477B4D" w:rsidP="00477B4D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477B4D" w:rsidRDefault="00477B4D" w:rsidP="00477B4D">
      <w:pPr>
        <w:pStyle w:val="ConsPlusTitle"/>
        <w:jc w:val="center"/>
      </w:pPr>
      <w:r>
        <w:t>МЕДИЦИНСКОЙ ПОМОЩИ В ГОРОДЕ МОСКВЕ НА 2025 ГОД И НА ПЛАНОВЫЙ</w:t>
      </w:r>
    </w:p>
    <w:p w:rsidR="00477B4D" w:rsidRDefault="00477B4D" w:rsidP="00477B4D">
      <w:pPr>
        <w:pStyle w:val="ConsPlusTitle"/>
        <w:jc w:val="center"/>
      </w:pPr>
      <w:r>
        <w:t>ПЕРИОД 2026 И 2027 ГОДОВ</w:t>
      </w: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ind w:firstLine="540"/>
        <w:jc w:val="both"/>
      </w:pPr>
      <w:r>
        <w:t>Мероприятия по профилактике заболеваний и формированию здорового образа жизни, осуществляемые в рамках Территориальной программы государственных гарантий бесплатного оказания гражданам медицинской помощи в городе Москве на 2025 год и на плановый период 2026 и 2027 годов, включают в себя: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совершенствование и оптимизацию деятельности отделений (кабинетов) медицинской профилактики медицинских организаций государственной системы здравоохранения города Москвы;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развитие деятельности центров здоровья для взрослого и детского населения в медицинских организациях государственной системы здравоохранения города Москвы;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профилактических мероприятий для выявления болезней системы кровообращения и онкологических заболеваний, формирующих основные причины смертности населения, для выявления хронических инфекционных заболеваний, болезней эндокринной системы, органов пищеварения и других заболеваний;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профилактические медицинские осмотры и диспансеризацию определенных групп взрослого населения (в возрасте 18 лет и старше), обучающихся в образовательных организациях по очной форме обучения, работающих и неработающих граждан;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профилактические медицинские осмотры (обследования) несовершеннолетних, в том числе в целях получения разрешения для занятий физической культурой и спортом, оздоровительными мероприятиями;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диспансеризацию пребывающих в стационарных учреждениях (в том числе в организациях для детей-сирот и детей, оставшихся без попечения родителей, организациях социального обслуживания)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том числе в приемную или патронатную семью;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углубленную диспансеризацию граждан, перенесших новую коронавирусную инфекцию (COVID-19);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диспансерное наблюдение, в том числе необходимое обследование состояния здоровья лиц, страдающих хроническими заболеваниями, функциональными расстройствами, иными состояниями, лиц, имеющих высокий риск развития осложнений хронических заболеваний, в целях своевременного выявления, предупреждения осложнений, иных патологических состояний, их профилактики и осуществления медицинской реабилитации указанных лиц;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lastRenderedPageBreak/>
        <w:t>- диспансеризацию лиц, находящихся в стационарных организациях социального обслуживания, а при наличии хронических заболеваний осуществление диспансерного наблюдения указанных лиц;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медицинскими организациями государственной системы здравоохранения города Москвы,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диспансеризацию граждан репродуктивного возраста по оценке репродуктивного здоровья и проведение репродуктивных установок в порядке, установленном Министерством здравоохранения Российской Федерации;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пренатальную (дородовую) диагностику нарушений развития ребенка у беременных женщин, застрахованных по обязательному медицинскому страхованию;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аудиологического скрининга у новорожденных детей и детей первого года жизни;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 xml:space="preserve">- проведение у новорожденных детей неонатального скрининга на 36 наследственных и врожденных заболеваний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и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(Вердинга-Гоффмана); </w:t>
      </w:r>
      <w:r>
        <w:lastRenderedPageBreak/>
        <w:t>другие наследственные спинальные мышечные атрофии; первичные иммунодефициты);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оказание медицинской помощи по коррекции факторов риска хронических неинфекционных заболеваний в отделениях медицинской профилактики медицинских организаций государственной системы здравоохранения города Москвы;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оказание медицинской помощи по оценке функционального состояния организма, диагностике и коррекции факторов риска хронических неинфекционных заболеваний при посещении центров здоровья для взрослого и детского населения в медицинских организациях государственной системы здравоохранения города Москвы;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совершенствование системы мероприятий по иммунопрофилактике и вакцинации населения, направленных на ограничение распространения и ликвидацию инфекционных болезней в городе Москве;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реализацию мер, направленных на снижение потребления алкоголя и табака;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предупреждение и борьбу с немедицинским потреблением наркотических средств и психотропных веществ, в том числе среди несовершеннолетних в организованных коллективах;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осуществление санитарно-противоэпидемических (профилактических) мероприятий;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предупреждение и раннее выявление хронических неинфекционных заболеваний, в том числе социально значимых, и борьбу с ними;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диспансерное наблюдение граждан, страдающих социально значимыми заболеваниями и заболеваниями, представляющими опасность для окружающих;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формирование мотивации у населения города Москвы к ведению здорового образа жизни (организации здорового питания, режима двигательной активности, отказа от вредных привычек) в медицинских организациях государственной системы здравоохранения города Москвы (в отделениях медицинской профилактики, центрах здоровья для взрослого и детского населения), включая обучение основам здорового образа жизни, в том числе в школах здоровья;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повышение мотивации у населения города Москвы к сохранению и укреплению своего здоровья, коррекции факторов риска и профилактике хронических неинфекционных заболеваний;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консультирование жителей города Москвы по вопросам сохранения и укрепления здоровья, ранней профилактике хронических неинфекционных заболеваний и коррекции факторов риска их развития в отделениях медицинской профилактики и центрах здоровья медицинских организаций государственной системы здравоохранения города Москвы;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информационно-профилактических акций и мероприятий (в том числе на городских общественных пространствах), направленных на раннее выявление хронических неинфекционных заболеваний и факторов риска их развития, привлечение внимания населения города Москвы к формированию здорового образа жизни и повышению культуры отношения к здоровью;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 xml:space="preserve">- информирование населения города Москвы о факторах риска развития хронических неинфекционных заболеваний и инфекциях, управляемых средствами специфической профилактики, посредством разработки и публикации информационных материалов по факторам риска развития заболеваний, по мотивированию к здоровому образу жизни, по привлечению к прохождению диспансеризации и профилактических медицинских осмотров, </w:t>
      </w:r>
      <w:r>
        <w:lastRenderedPageBreak/>
        <w:t>своевременной вакцинации.</w:t>
      </w: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jc w:val="right"/>
        <w:outlineLvl w:val="1"/>
      </w:pPr>
      <w:r>
        <w:t>Приложение 8</w:t>
      </w:r>
    </w:p>
    <w:p w:rsidR="00477B4D" w:rsidRDefault="00477B4D" w:rsidP="00477B4D">
      <w:pPr>
        <w:pStyle w:val="ConsPlusNormal"/>
        <w:jc w:val="right"/>
      </w:pPr>
      <w:r>
        <w:t>к Территориальной программе</w:t>
      </w: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Title"/>
        <w:jc w:val="center"/>
      </w:pPr>
      <w:bookmarkStart w:id="1" w:name="P19251"/>
      <w:bookmarkEnd w:id="1"/>
      <w:r>
        <w:t>УСЛОВИЯ</w:t>
      </w:r>
    </w:p>
    <w:p w:rsidR="00477B4D" w:rsidRDefault="00477B4D" w:rsidP="00477B4D">
      <w:pPr>
        <w:pStyle w:val="ConsPlusTitle"/>
        <w:jc w:val="center"/>
      </w:pPr>
      <w:r>
        <w:t>И СРОКИ ПРОВЕДЕНИЯ ДИСПАНСЕРИЗАЦИИ, ДИСПАНСЕРНОГО НАБЛЮДЕНИЯ</w:t>
      </w:r>
    </w:p>
    <w:p w:rsidR="00477B4D" w:rsidRDefault="00477B4D" w:rsidP="00477B4D">
      <w:pPr>
        <w:pStyle w:val="ConsPlusTitle"/>
        <w:jc w:val="center"/>
      </w:pPr>
      <w:r>
        <w:t>НАСЕЛЕНИЯ ДЛЯ ОТДЕЛЬНЫХ КАТЕГОРИЙ ГРАЖДАН, ПРОФИЛАКТИЧЕСКИХ</w:t>
      </w:r>
    </w:p>
    <w:p w:rsidR="00477B4D" w:rsidRDefault="00477B4D" w:rsidP="00477B4D">
      <w:pPr>
        <w:pStyle w:val="ConsPlusTitle"/>
        <w:jc w:val="center"/>
      </w:pPr>
      <w:r>
        <w:t>МЕДИЦИНСКИХ ОСМОТРОВ</w:t>
      </w: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ind w:firstLine="540"/>
        <w:jc w:val="both"/>
      </w:pPr>
      <w:r>
        <w:t>Диспансеризация взрослого населения и (или) профилактические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В рамках проведения профилактических мероприятий Департаментом здравоохранения города Москвы обеспечивается организация прохождения гражданами диспансеризации и (или) профилактических медицинских осмотров в целях выявления патологических состояний, заболеваний и факторов риска их развития, в том числе при распространении острых респираторных вирусных инфекций, в вечерние часы (до 20 часов) и в выходные дни по плану-графику медицинских организаций государственной системы здравоохранения города Москвы, оказывающих первичную медико-санитарную помощь.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Гражданам предоставляется возможность записи, осуществляемой в том числе очно, по телефону и дистанционно (при наличии технической возможности, с использованием Портала государственных и муниципальных услуг (функций) города Москвы).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График проведения профилактических медицинских осмотров и диспансеризации размещается на информационных стендах в помещениях медицинских организаций, а также на официальных сайтах медицинских организаций в информационно-телекоммуникационной сети Интернет.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Информация о медицинских организациях, в которых граждане могут пройти диспансеризацию и (или) профилактический медицинский осмотр, размещается на официальном сайте Департамента здравоохранения города Москвы в информационно-телекоммуникационной сети Интернет.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Диспансеризация взрослого населения проводится один раз в три года гражданам в возрасте от 18 до 39 лет включительно и ежегодно в возрасте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гражданина, проводимые в целях оценки состояния здоровья (включая определение группы здоровья и группы диспансерного наблюдения).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 xml:space="preserve">Инвалиды Великой Отечественной войны, инвалиды боевых действий, участники Великой Отечественной войны, лица, награжденные знаком "Жителю блокадного Ленинграда", лица, награжденные знаком "Житель осажденного Севастополя", и лица, награжденные знаком "Житель осажденного Сталинграда", бывшие несовершеннолетние узники концлагерей, гетто, </w:t>
      </w:r>
      <w:r>
        <w:lastRenderedPageBreak/>
        <w:t>других мест принудительного содержания, созданных фашистами и их союзниками в период Второй мировой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проходят диспансеризацию ежегодно вне зависимости от возраста.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Для оценки состояния здоровья ветерана боевых действий, принимавшего участие (содействовавшего выполнению задач) в специальной военной операции, уволенного с военной службы (службы, работы), застрахованного по обязательному медицинскому страхованию в городе Москве (далее - ветеран боевых действий), необходимого для определения дальнейшей тактики оказания медицинской помощи, при его обращении в медицинскую организацию, выбранную для получения первичной медико-санитарной помощи, ветерану боевых действий организуется проведение профилактического диагностического медицинского обследования организма (чек-ап) в объеме, определяемом Департаментом здравоохранения города Москвы.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При проведении ветерану боевых действий профилактического диагностического медицинского обследования организма (чек-ап) врач-терапевт оценивает необходимость предоставления ветерану боевых действий дополнительных обследований и консультаций врачей-специалистов. При этом рекомендуется обеспечить проведение таких дополнительных обследований и консультаций в день прохождения профилактического диагностического медицинского обследования организма (чек-ап).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Диспансерное наблюдение, в рамках которого осуществляется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проводится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правовыми актами Департамента здравоохранения города Москвы.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Медицинские организации, оказывающие первичную медико-санитарную помощь, в рамках программы диспансерного наблюдения информируют граждан, за которыми установлено диспансерное наблюдение, о рекомендуемых сроках явки на диспансерный прием (осмотр, консультацию) путем рассылки по сети подвижной радиотелефонной связи коротких текстовых sms-сообщений, а также путем направления в автоматизированном режиме уведомлений в личный кабинет гражданина на Портале государственных и муниципальных услуг (функций) города Москвы, сформированных в автоматизированном режиме с использованием "Единой медицинской информационно-аналитической системы города Москвы" на основе анализа медицинских данных пациента, или иных каналов, в том числе, при необходимости, с привлечением страховых медицинских организаций.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 xml:space="preserve">Диспансерное наблюдение либо диспансеризация лиц, находящихся в стационарных организациях социального обслуживания, проводится в соответствии с порядками,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 привлечением медицинских организаций государственной системы здравоохранения города Москвы, оказывающих первичную медико-санитарную помощь. В случае выявления в рамках проведения диспансеризации или осуществления диспансерного наблюдения лиц, находящихся в стационарных организациях социального обслуживания, заболеваний и состояний, являющихся показаниями к оказанию специализированной, в том числе высокотехнологичной, медицинской помощи, осуществляется их госпитализация в медицинские организации государственной системы здравоохранения города Москвы, оказывающие специализированную медицинскую помощь в стационарных условиях, в сроки, </w:t>
      </w:r>
      <w:r>
        <w:lastRenderedPageBreak/>
        <w:t>установленные Территориальной программой.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осуществляется в соответствии с порядками,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медицинскими организациями государственной системы здравоохранения города Москвы,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Профилактический медицинский осмотр проводится ежегодно в качестве самостоятельного мероприятия, в том числе в рамках диспансеризации или диспансерного наблюдения (при проведении первого в текущем году диспансерного приема (осмотра, консультации),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для пациентов рекомендаций, направленных на формирование здорового образа жизни и профилактику хронических неинфекционных заболеваний.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Профилактические медицинские осмотры и диспансеризация взрослого населения проводятся в медицинской организации, в которой граждане получают первичную медико-санитарную помощь, в том числе по месту нахождения мобильных медицинских бригад таких медицинских организаций.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Работники и (или) обучающиеся образовательных организаций вправе проходить профилактические медицинские осмотры и (или) диспансеризацию в медицинской организации, к которой они не прикреплены для получения первичной медико-санитарной помощи и участвующей в реализации Территориальной программы обязательного медицинского страхования города Москвы, в том числе по месту нахождения мобильной медицинской бригады, организованной в структуре такой медицинской организации (включая место работы и учебы).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При необходимости для проведения медицинских исследований в рамках проведения диспансеризации и (или) профилактических медицинских осмотров могут привлекаться медицинские работники медицинских организаций, оказывающих специализированную медицинскую помощь.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Диспансеризация взрослого населения проводится в два этапа.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Первый этап диспансеризации (скрининг) проводится с целью раннего выявления у граждан признаков хронических неинфекционных заболеваний, факторов риска их развития,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Второй этап диспансеризации проводится с целью дополнительного обследования и уточнения диагноза заболевания (состояния).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 xml:space="preserve">С учетом установленных Правительством Российской Федерации особенностей </w:t>
      </w:r>
      <w:r>
        <w:lastRenderedPageBreak/>
        <w:t>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 (COVID-19), в дополнение к профилактическим медицинским осмотрам и диспансеризации гражданам, переболевшим новой коронавирусной инфекцией (COVID-19), включая случаи заболеваний, в отношении которых отсутствуют сведения о перенесенной новой коронавирусной инфекции (COVID-19) методом полимеразной цепной реакции, в течение года после заболевания (COVID-19) проводится углубленная диспансеризация, включающая дополнительные диагностические исследования и иные медицинские вмешательства, предусмотренные настоящим приложением к Территориальной программе, направленные на раннее выявление осложнений после перенесенной новой коронавирусной инфекции (COVID-19) (далее - углубленная диспансеризация).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Направление граждан на прохождение углубленной диспансеризации, включая определение категории граждан, проходящих углубленную диспансеризацию, и определение категории граждан, проходящих углубленную диспансеризацию в первоочередном порядке, осуществляется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В рамках проведения углубленной диспансеризации обеспечивается организация прохождения гражданами углубленной диспансеризации, в том числе в вечерние часы (до 20 часов) и в выходные дни по плану-графику медицинских организаций государственной системы здравоохранения города Москвы, оказывающих первичную медико-санитарную помощь, а также при наличии технической возможности предоставляется возможность дистанционной записи на диагностические исследования с использованием Портала государственных и муниципальных услуг (функций) города Москвы.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Перечень медицинских организаций, осуществляющих углубленную диспансеризацию, и порядок их работы размещаются на официальном сайте Департамента здравоохранения города Москвы в информационно-телекоммуникационной сети Интернет.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Информирование граждан о возможности прохождения углубленной диспансеризации осуществляется с привлечением страховых медицинских организаций путем рассылки по сети подвижной радиотелефонной связи коротких текстовых sms-сообщений, рассылки ussd-сообщений и иных доступных средств связи (при наличии согласия гражданина).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Первый этап углубленной диспансеризации рекомендуется проводить в течение одного дня в целях выявления у граждан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измерение насыщения крови кислородом (сатурация) в покое;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спирометрии или спирографии;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общий (клинический) анализ крови развернутый;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 xml:space="preserve">-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r>
        <w:lastRenderedPageBreak/>
        <w:t>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рентгенографии органов грудной клетки (если не выполнялась ранее в течение года);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прием (осмотр) врачом-терапевтом (участковым терапевтом, врачом общей практики).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Второй этап углубленной диспансеризации проводится в целях дополнительного обследования гражданина и уточнения диагноза заболевания (состояния) и включает в себя: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По результатам проведения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инфекцией (COVID-19), гражданин в течение трех рабочих дней в установленном порядке направляется на дополнительные исследования, ставится на диспансерное наблюдение, при наличии медицинских показаний ему оказывается соответствующее лечение и медицинская реабилитация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а также осуществляется лекарственное обеспечение в соответствии с нормативными правовыми актами Правительства Российской Федерации и правовыми актами города Москвы.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Для граждан репродуктивного возраста поэтапно в зависимости от возрастных групп одновременно с прохождением диспансеризации или профилактического осмотра организуется проведение диспансеризации в целях выявления у граждан признаков заболеваний или состояний, которые могут негативно повлиять на репродуктивное здоровье, и факторов риска их развития (далее - диспансеризация репродуктивного здоровья граждан репродуктивного возраста).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Информация о медицинских организациях, в которых граждане могут пройти диспансеризацию репродуктивного здоровья граждан репродуктивного возраста, и порядок их работы размещаются на официальном сайте Департамента здравоохранения города Москвы в информационно-телекоммуникационной сети Интернет.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Диспансеризация репродуктивного здоровья граждан репродуктивного возраста проводится в два этапа.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Для женщин на первом этапе диспансеризации репродуктивного здоровья граждан репродуктивного возраста проводятся следующие мероприятия, включающие в себя: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lastRenderedPageBreak/>
        <w:t>- прием (осмотр) врачом-акушером-гинекологом;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пальпацию молочных желез;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осмотр шейки матки в зеркалах с забором материала на исследование;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микроскопическое исследование влагалищных мазков;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у женщин в возрасте 18-29 лет.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Для мужчин на первом этапе диспансеризации репродуктивного здоровья граждан репродуктивного возраста проводится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Для женщин на втором этапе диспансеризации репродуктивного здоровья граждан репродуктивного возраста проводятся следующие мероприятия, включающие в себя: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женщинам в возрасте 30-49 лет;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ультразвуковое исследование органов малого таза в начале или середине менструального цикла;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ультразвуковое исследование молочных желез;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повторный прием (осмотр) врачом-акушером-гинекологом.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Для мужчин на втором этапе диспансеризации репродуктивного здоровья граждан репродуктивного возраста проводятся следующие мероприятия, включающие в себя: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спермограммы;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микроскопического исследования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ультразвукового исследования предстательной железы и органов мошонки;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проведение повторного приема (осмотра) врачом-урологом (при его отсутствии - врачом-хирургом, прошедшим подготовку по вопросам репродуктивного здоровья у мужчин).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 xml:space="preserve">В случае невозможности проведения всех исследований в медицинской организации, к </w:t>
      </w:r>
      <w:r>
        <w:lastRenderedPageBreak/>
        <w:t>которой прикреплен гражданин, для проведения указанных исследований медицинским работником такой медицинской организации осуществляется забор биологического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При отсутствии в медицинской организации, к которой прикреплен гражданин, врача-акушера-гинеколога, врача-уролога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Проводятся в порядке, установленном Департаментом здравоохранения города Москвы, популяционный скрининг женщин репродуктивного возраста для определения индивидуального временного резерва на рождение детей, а также мероприятия по сохранению и укреплению репродуктивного здоровья взрослого населения города Москвы.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Скрининговое обследование проводится при отсутствии выполненного исследования уровня антимюллерова гормона (далее - АМГ) в течение одного года: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женщинам из числа прикрепленных к женским консультациям медицинских организаций государственной системы здравоохранения города Москвы в возрасте 25-39 лет включительно;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женщинам из числа прикрепленных к женским консультациям медицинских организаций государственной системы здравоохранения города Москвы в возрасте 18-24 лет включительно с оперативным вмешательством на яичниках в анамнезе;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женщинам из числа прикрепленных к женским консультациям медицинских организаций государственной системы здравоохранения города Москвы в возрасте 18-24 лет включительно с ранней менопаузой у ближайших родственниц (мать, родная сестра).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Мероприятия по сохранению и укреплению репродуктивного здоровья взрослого населения города Москвы включают медицинскую помощь с применением вспомогательных репродуктивных технологий по получению, криоконсервации половых клеток и эмбрионов и последующему хранению в следующих случаях: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онкологических заболеваний на ранних стадиях у женщин до 40 лет, до начала цитотоксической терапии, при этом, если имеются противопоказания к стимуляции яичников, проводится программа получения ооцитов или эмбрионов в естественном цикле;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соматических заболеваний у женщин до 40 лет, имеющих противопоказания к стимуляции яичников, до начала цитостатической терапии, в том числе: системные заболевания соединительной ткани и системные васкулиты до начала цитостатической терапии, рефрактерное течение ревматического заболевания с невозможностью отмены специализированной терапии, рассеянный склероз с невозможностью отмены специализированной терапии;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выявленного при скрининговом обследовании низкого уровня АМГ крови (от 1,2 до 1,5 нг/мл).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Хранение криоконсервированного биологического материала обеспечивается женщинам, имеющим место жительства в городе Москве или Московской области по сведениям регистрационного учета, застрахованным в системе обязательного медицинского страхования в городе Москве и прикрепленным к женским консультациям медицинских организаций государственной системы здравоохранения города Москвы: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lastRenderedPageBreak/>
        <w:t>- с онкологическими и соматическими заболеваниями в течение двух лет со дня стабилизации состояния или излечения основного заболевания;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- с выявленным при скрининговом обследовании низком уровне АМГ в течение двух лет с момента криоконсервации биологического материала.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Диспансеризация детей-сирот и детей, оставшихся без попечения родителей, в том числе усыновленных (удочеренных), принятых под опеку (попечительство), в том числе приемную или патронатную семью, а также пребывающих в стационарных учреждениях (в том числе в организациях для детей-сирот и детей, оставшихся без попечения родителей, организациях социального обслуживания) детей-сирот и детей, находящихся в трудной жизненной ситуации, проводится ежегодно в два этапа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указанных детей.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Общая продолжительность первого этапа диспансеризации детей-сирот, детей, оставшихся без попечения родителей, и детей, находящихся в трудной жизненной ситуации,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из других медицинских организаций общая продолжительность диспансеризации - не более 45 рабочих дней (первый и второй этапы).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Несовершеннолетний, не достигший пятнадцатилетнего возраста, прибывает в медицинскую организацию для проведения профилактического медицинского осмотра в сопровождении родителя или иного законного представителя.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Профилактические медицинские осмотры обучающихся в государственных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осуществляются в образовательной организации либо в случаях, установленных Департаментом здравоохранения города Москвы, в медицинской организации государственной системы здравоохранения города Москвы.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Профилактический медицинский осмотр несовершеннолетнему проводится в два этапа.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Первый этап профилактического медицинского осмотра предусматривает проведение осмотров врачами-специалистами и выполнение лабораторных, инструментальных и иных необходимых исследований.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Второй этап профилактического медицинского осмотра проводится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необходимых исследований, и включает проведение дополнительных консультаций и исследований.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 xml:space="preserve">Общая продолжительность первого этапа профилактического медицинского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состоянии здоровья </w:t>
      </w:r>
      <w:r>
        <w:lastRenderedPageBreak/>
        <w:t>несовершеннолетнего из других медицинских организаций общая продолжительность профилактического осмотра - не более 45 рабочих дней (первый и второй этапы).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По результатам профилактического медицинского осмотра определяются группа здоровья несовершеннолетнего, медицинская группа для занятий физической культурой, рекомендации по формированию здорового образа жизни, режиму дня, питанию, физическому развитию, иммунопрофилактике, занятиям физической культурой, о необходимости установления или продолжения диспансерного наблюдения, по лечению, а также медицинской реабилитации и санаторно-курортному лечению.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При проведении профилактического медицинского осмотра,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477B4D" w:rsidRDefault="00477B4D" w:rsidP="00477B4D">
      <w:pPr>
        <w:pStyle w:val="ConsPlusNormal"/>
        <w:spacing w:before="240"/>
        <w:ind w:firstLine="540"/>
        <w:jc w:val="both"/>
      </w:pPr>
      <w:r>
        <w:t>Московский городской фонд обязательного медицинского страхования осуществляет сбор данных о количестве лиц, прошедших профилактические медицинские осмотры, диспансеризацию, углубленную диспансеризацию, диспансеризацию репродуктивного здоровья граждан репродуктивного возраста, результатах проведенных мероприятий и передает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jc w:val="both"/>
      </w:pPr>
    </w:p>
    <w:p w:rsidR="00477B4D" w:rsidRDefault="00477B4D" w:rsidP="00477B4D">
      <w:pPr>
        <w:pStyle w:val="ConsPlusNormal"/>
        <w:jc w:val="both"/>
      </w:pPr>
    </w:p>
    <w:p w:rsidR="00477B4D" w:rsidRDefault="00477B4D" w:rsidP="00477B4D"/>
    <w:p w:rsidR="00A50501" w:rsidRPr="00477B4D" w:rsidRDefault="008D5849" w:rsidP="008561E0">
      <w:pPr>
        <w:pStyle w:val="a3"/>
        <w:ind w:firstLine="284"/>
        <w:contextualSpacing/>
      </w:pPr>
      <w:bookmarkStart w:id="2" w:name="_GoBack"/>
      <w:bookmarkEnd w:id="2"/>
      <w:r w:rsidRPr="00477B4D">
        <w:t xml:space="preserve"> </w:t>
      </w:r>
    </w:p>
    <w:p w:rsidR="00CE2B53" w:rsidRPr="008561E0" w:rsidRDefault="00CE2B53" w:rsidP="004464AD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CE2B53" w:rsidRPr="008561E0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E5" w:rsidRDefault="008936E5" w:rsidP="0053159A">
      <w:pPr>
        <w:spacing w:after="0" w:line="240" w:lineRule="auto"/>
      </w:pPr>
      <w:r>
        <w:separator/>
      </w:r>
    </w:p>
  </w:endnote>
  <w:endnote w:type="continuationSeparator" w:id="0">
    <w:p w:rsidR="008936E5" w:rsidRDefault="008936E5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E5" w:rsidRDefault="008936E5" w:rsidP="0053159A">
      <w:pPr>
        <w:spacing w:after="0" w:line="240" w:lineRule="auto"/>
      </w:pPr>
      <w:r>
        <w:separator/>
      </w:r>
    </w:p>
  </w:footnote>
  <w:footnote w:type="continuationSeparator" w:id="0">
    <w:p w:rsidR="008936E5" w:rsidRDefault="008936E5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1813"/>
    <w:multiLevelType w:val="multilevel"/>
    <w:tmpl w:val="6C3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75BB"/>
    <w:multiLevelType w:val="hybridMultilevel"/>
    <w:tmpl w:val="98F8C8D4"/>
    <w:lvl w:ilvl="0" w:tplc="858E34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03228"/>
    <w:rsid w:val="00014AFF"/>
    <w:rsid w:val="00021AAA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15B1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45CB3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156A6"/>
    <w:rsid w:val="00226A7A"/>
    <w:rsid w:val="00231ACD"/>
    <w:rsid w:val="002351C6"/>
    <w:rsid w:val="00247040"/>
    <w:rsid w:val="002515C1"/>
    <w:rsid w:val="002721F6"/>
    <w:rsid w:val="00273365"/>
    <w:rsid w:val="0027679C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B4821"/>
    <w:rsid w:val="003C1B7C"/>
    <w:rsid w:val="003C4B2C"/>
    <w:rsid w:val="003E20E9"/>
    <w:rsid w:val="003E654C"/>
    <w:rsid w:val="003E73BC"/>
    <w:rsid w:val="003F2AE5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63F98"/>
    <w:rsid w:val="00477B4D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2A"/>
    <w:rsid w:val="004F67D0"/>
    <w:rsid w:val="005030CC"/>
    <w:rsid w:val="005065C7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555C"/>
    <w:rsid w:val="0055700E"/>
    <w:rsid w:val="005602D1"/>
    <w:rsid w:val="005624EC"/>
    <w:rsid w:val="0059225C"/>
    <w:rsid w:val="005A7972"/>
    <w:rsid w:val="005B7452"/>
    <w:rsid w:val="005C0E9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318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2400"/>
    <w:rsid w:val="006B64D9"/>
    <w:rsid w:val="006D274B"/>
    <w:rsid w:val="006D4FE6"/>
    <w:rsid w:val="00732044"/>
    <w:rsid w:val="00732950"/>
    <w:rsid w:val="00733745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778BC"/>
    <w:rsid w:val="007849A5"/>
    <w:rsid w:val="00790ACC"/>
    <w:rsid w:val="007A674B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1E0"/>
    <w:rsid w:val="00856D73"/>
    <w:rsid w:val="00861AA2"/>
    <w:rsid w:val="00864F90"/>
    <w:rsid w:val="00866418"/>
    <w:rsid w:val="0087098A"/>
    <w:rsid w:val="008709B6"/>
    <w:rsid w:val="00871E6E"/>
    <w:rsid w:val="008805CE"/>
    <w:rsid w:val="008936E5"/>
    <w:rsid w:val="008A4A00"/>
    <w:rsid w:val="008C00CA"/>
    <w:rsid w:val="008C193B"/>
    <w:rsid w:val="008C49CC"/>
    <w:rsid w:val="008D1104"/>
    <w:rsid w:val="008D2948"/>
    <w:rsid w:val="008D31BC"/>
    <w:rsid w:val="008D3A30"/>
    <w:rsid w:val="008D5849"/>
    <w:rsid w:val="008D6AC1"/>
    <w:rsid w:val="00901804"/>
    <w:rsid w:val="00915F0C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0C95"/>
    <w:rsid w:val="009829AA"/>
    <w:rsid w:val="009A0054"/>
    <w:rsid w:val="009A01D7"/>
    <w:rsid w:val="009B042C"/>
    <w:rsid w:val="009C0975"/>
    <w:rsid w:val="009C6660"/>
    <w:rsid w:val="009E1166"/>
    <w:rsid w:val="009E4EB3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7783"/>
    <w:rsid w:val="00A57C98"/>
    <w:rsid w:val="00A65B8F"/>
    <w:rsid w:val="00A7006F"/>
    <w:rsid w:val="00A729DF"/>
    <w:rsid w:val="00A737AA"/>
    <w:rsid w:val="00A772B8"/>
    <w:rsid w:val="00A82854"/>
    <w:rsid w:val="00A844E2"/>
    <w:rsid w:val="00A95667"/>
    <w:rsid w:val="00AA1D31"/>
    <w:rsid w:val="00AA4EC5"/>
    <w:rsid w:val="00AB6D68"/>
    <w:rsid w:val="00AB7CE9"/>
    <w:rsid w:val="00AC1F4F"/>
    <w:rsid w:val="00AD4634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53C43"/>
    <w:rsid w:val="00B66196"/>
    <w:rsid w:val="00B700C1"/>
    <w:rsid w:val="00B707D1"/>
    <w:rsid w:val="00B73208"/>
    <w:rsid w:val="00B8518C"/>
    <w:rsid w:val="00B948F6"/>
    <w:rsid w:val="00B96B31"/>
    <w:rsid w:val="00BA05E2"/>
    <w:rsid w:val="00BB02DB"/>
    <w:rsid w:val="00BB411E"/>
    <w:rsid w:val="00BB7CC4"/>
    <w:rsid w:val="00BC0DF6"/>
    <w:rsid w:val="00BC38F8"/>
    <w:rsid w:val="00BC593E"/>
    <w:rsid w:val="00BD4C34"/>
    <w:rsid w:val="00BE33B5"/>
    <w:rsid w:val="00BF3708"/>
    <w:rsid w:val="00BF377A"/>
    <w:rsid w:val="00BF5305"/>
    <w:rsid w:val="00C261B6"/>
    <w:rsid w:val="00C33C31"/>
    <w:rsid w:val="00C5566A"/>
    <w:rsid w:val="00C56EA4"/>
    <w:rsid w:val="00C637B9"/>
    <w:rsid w:val="00C66490"/>
    <w:rsid w:val="00C7144F"/>
    <w:rsid w:val="00C87BBA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26A5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0E0F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25923"/>
    <w:rsid w:val="00E32F14"/>
    <w:rsid w:val="00E40549"/>
    <w:rsid w:val="00E6535B"/>
    <w:rsid w:val="00E7168C"/>
    <w:rsid w:val="00E73B13"/>
    <w:rsid w:val="00E84AD2"/>
    <w:rsid w:val="00E84EF3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0B1B"/>
    <w:rsid w:val="00F67DC9"/>
    <w:rsid w:val="00F84237"/>
    <w:rsid w:val="00FA27FC"/>
    <w:rsid w:val="00FA35D2"/>
    <w:rsid w:val="00FA64D0"/>
    <w:rsid w:val="00FC1678"/>
    <w:rsid w:val="00FC70B7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  <w:style w:type="paragraph" w:styleId="af">
    <w:name w:val="Body Text Indent"/>
    <w:basedOn w:val="a"/>
    <w:link w:val="af0"/>
    <w:semiHidden/>
    <w:rsid w:val="002721F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721F6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semiHidden/>
    <w:rsid w:val="002721F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721F6"/>
    <w:rPr>
      <w:rFonts w:ascii="Times New Roman" w:eastAsia="Times New Roman" w:hAnsi="Times New Roman"/>
      <w:b/>
      <w:bCs/>
    </w:rPr>
  </w:style>
  <w:style w:type="paragraph" w:styleId="21">
    <w:name w:val="Body Text Indent 2"/>
    <w:basedOn w:val="a"/>
    <w:link w:val="22"/>
    <w:semiHidden/>
    <w:rsid w:val="002721F6"/>
    <w:pPr>
      <w:spacing w:after="0" w:line="36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721F6"/>
    <w:rPr>
      <w:rFonts w:ascii="Times New Roman" w:eastAsia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F6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77B4D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paragraph" w:customStyle="1" w:styleId="ConsPlusTitle">
    <w:name w:val="ConsPlusTitle"/>
    <w:rsid w:val="00477B4D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AFF5-D79A-460C-950F-9837C708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5379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35969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2</cp:revision>
  <cp:lastPrinted>2025-01-13T05:43:00Z</cp:lastPrinted>
  <dcterms:created xsi:type="dcterms:W3CDTF">2025-05-07T13:34:00Z</dcterms:created>
  <dcterms:modified xsi:type="dcterms:W3CDTF">2025-05-07T13:34:00Z</dcterms:modified>
</cp:coreProperties>
</file>